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234" w:rsidRPr="00537AD5" w:rsidRDefault="00802234" w:rsidP="00802234">
      <w:pPr>
        <w:pStyle w:val="Heading1"/>
        <w:spacing w:before="120" w:after="120" w:line="360" w:lineRule="auto"/>
        <w:jc w:val="both"/>
        <w:rPr>
          <w:rFonts w:ascii="Times New Roman" w:hAnsi="Times New Roman" w:cs="Times New Roman"/>
          <w:b w:val="0"/>
          <w:color w:val="auto"/>
          <w:lang w:val="pt-BR"/>
        </w:rPr>
      </w:pPr>
      <w:r w:rsidRPr="00537AD5">
        <w:rPr>
          <w:rFonts w:ascii="Times New Roman" w:hAnsi="Times New Roman" w:cs="Times New Roman"/>
          <w:color w:val="auto"/>
          <w:sz w:val="24"/>
          <w:szCs w:val="24"/>
          <w:lang w:val="pt-BR"/>
        </w:rPr>
        <w:t xml:space="preserve">ĐIỆU BỘ HỌC </w:t>
      </w:r>
      <w:r w:rsidRPr="00537AD5">
        <w:rPr>
          <w:rFonts w:ascii="Times New Roman" w:hAnsi="Times New Roman" w:cs="Times New Roman"/>
          <w:color w:val="auto"/>
          <w:lang w:val="pt-BR"/>
        </w:rPr>
        <w:t xml:space="preserve">(Kinesics), </w:t>
      </w:r>
      <w:r w:rsidRPr="00537AD5">
        <w:rPr>
          <w:rFonts w:ascii="Times New Roman" w:hAnsi="Times New Roman" w:cs="Times New Roman"/>
          <w:b w:val="0"/>
          <w:color w:val="auto"/>
          <w:lang w:val="pt-BR"/>
        </w:rPr>
        <w:t>công việc nghiên cứu cấu trúc và chức năng của các phương tiện phi lời như n</w:t>
      </w:r>
      <w:r w:rsidRPr="00537AD5">
        <w:rPr>
          <w:rFonts w:ascii="Times New Roman" w:eastAsia="SimSun" w:hAnsi="Times New Roman" w:cs="Times New Roman"/>
          <w:b w:val="0"/>
          <w:color w:val="auto"/>
          <w:lang w:val="pt-BR"/>
        </w:rPr>
        <w:t>é</w:t>
      </w:r>
      <w:r w:rsidRPr="00537AD5">
        <w:rPr>
          <w:rFonts w:ascii="Times New Roman" w:hAnsi="Times New Roman" w:cs="Times New Roman"/>
          <w:b w:val="0"/>
          <w:color w:val="auto"/>
          <w:lang w:val="pt-BR"/>
        </w:rPr>
        <w:t xml:space="preserve">t mặt và cử chỉ, hành vi phi ngôn ngữ liên quan đến chuyển động của bất kì bộ phận nào của cơ thể hoặc toàn bộ cơ thể trong giao tiếp phi ngôn từ. </w:t>
      </w:r>
    </w:p>
    <w:p w:rsidR="00802234" w:rsidRPr="00537AD5" w:rsidRDefault="00802234" w:rsidP="00802234">
      <w:pPr>
        <w:pStyle w:val="Heading1"/>
        <w:spacing w:before="120" w:after="120" w:line="360" w:lineRule="auto"/>
        <w:ind w:firstLine="658"/>
        <w:jc w:val="both"/>
        <w:rPr>
          <w:rFonts w:ascii="Times New Roman" w:hAnsi="Times New Roman" w:cs="Times New Roman"/>
          <w:bCs w:val="0"/>
          <w:i/>
          <w:color w:val="auto"/>
          <w:lang w:val="pt-BR"/>
        </w:rPr>
      </w:pPr>
      <w:r w:rsidRPr="00537AD5">
        <w:rPr>
          <w:rFonts w:ascii="Times New Roman" w:hAnsi="Times New Roman" w:cs="Times New Roman"/>
          <w:b w:val="0"/>
          <w:color w:val="auto"/>
          <w:lang w:val="pt-BR"/>
        </w:rPr>
        <w:t xml:space="preserve">Việc nghiên cứu điệu bộ trong giao tiếp có vai trò lớn trong việc giải thích và phiên giải ý nghĩa của nó. Những hiện tượng phi ngôn từ như biểu hiện nét mặt, chuyển động của mắt, cử động của đầu hoặc các bộ phận cơ thể, các cử chỉ nói chung, có thể hỗ trợ thêm hoặc nhấn mạnh sắc thái ngữ nghĩa trong hoàn cảnh sử dụng của người nói. Có nhiều hành động được sử dụng thay cho những cách nói, tuỳ theo nền văn hoá, ví dụ “gật đầu” trong văn hoá Việt Nam và nhiều nền văn hoá khác được dùng thay cho những cách nói như </w:t>
      </w:r>
      <w:r w:rsidRPr="00537AD5">
        <w:rPr>
          <w:rFonts w:ascii="Times New Roman" w:hAnsi="Times New Roman" w:cs="Times New Roman"/>
          <w:b w:val="0"/>
          <w:i/>
          <w:color w:val="auto"/>
          <w:lang w:val="pt-BR"/>
        </w:rPr>
        <w:t xml:space="preserve">đồng ý, vâng, nhất trí, tán thành; </w:t>
      </w:r>
      <w:r w:rsidRPr="00537AD5">
        <w:rPr>
          <w:rFonts w:ascii="Times New Roman" w:hAnsi="Times New Roman" w:cs="Times New Roman"/>
          <w:b w:val="0"/>
          <w:color w:val="auto"/>
          <w:lang w:val="pt-BR"/>
        </w:rPr>
        <w:t xml:space="preserve"> trong khi “lắc đầu” được dùng thay cho những cách nói như </w:t>
      </w:r>
      <w:r w:rsidRPr="00537AD5">
        <w:rPr>
          <w:rFonts w:ascii="Times New Roman" w:hAnsi="Times New Roman" w:cs="Times New Roman"/>
          <w:b w:val="0"/>
          <w:i/>
          <w:color w:val="auto"/>
          <w:lang w:val="pt-BR"/>
        </w:rPr>
        <w:t xml:space="preserve"> không đồng ý, không phải thế, không nhất trí, không tán thành; </w:t>
      </w:r>
      <w:r w:rsidRPr="00537AD5">
        <w:rPr>
          <w:rFonts w:ascii="Times New Roman" w:hAnsi="Times New Roman" w:cs="Times New Roman"/>
          <w:b w:val="0"/>
          <w:color w:val="auto"/>
          <w:lang w:val="pt-BR"/>
        </w:rPr>
        <w:t>hay hành vi đan chéo hai ngón tay trong văn hoá Việt được hiểu là một hành động khiêu khích hoặc không lịch sự, trong khi đó, ở nước ngoài cách để ngón tay như vậy lại là một biểu tượng cho sự may mắn.</w:t>
      </w:r>
    </w:p>
    <w:p w:rsidR="00802234" w:rsidRPr="00537AD5" w:rsidRDefault="00802234" w:rsidP="00802234">
      <w:pPr>
        <w:spacing w:before="120" w:after="120" w:line="360" w:lineRule="auto"/>
        <w:ind w:firstLineChars="235" w:firstLine="658"/>
        <w:jc w:val="both"/>
        <w:rPr>
          <w:rFonts w:eastAsiaTheme="majorEastAsia"/>
          <w:bCs/>
          <w:lang w:val="pt-BR"/>
        </w:rPr>
      </w:pPr>
      <w:r w:rsidRPr="00537AD5">
        <w:rPr>
          <w:rFonts w:eastAsiaTheme="majorEastAsia"/>
          <w:bCs/>
          <w:lang w:val="pt-BR"/>
        </w:rPr>
        <w:t>ĐBH lần đầu tiên được Ray Birdwhistell - một nhà nhân chủng học - sử dụng vào năm 1952. Birdwhistell mong muốn nghiên cứu cách mọi người giao tiếp thông qua tư thế, cử chỉ, thế đứng và chuyển động. Dựa nhiều vào ngôn ngữ học mô tả, Birdwhistell lập luận rằng tất cả các chuyển động của cơ thể đều có ý nghĩa và hành vi phi ngôn ngữ đó có một ngữ pháp có thể được phân tích theo các thuật ngữ tương tự như ngôn ngữ nói. Do đó, một “kineme” “tương tự như một âm vị vì nó bao gồm một nhóm các chuyển động không giống nhau, nhưng có thể được sử dụng thay thế cho nhau mà không ảnh hưởng đến ý nghĩa xã hội.”</w:t>
      </w:r>
    </w:p>
    <w:p w:rsidR="00802234" w:rsidRPr="00537AD5" w:rsidRDefault="00802234" w:rsidP="00802234">
      <w:pPr>
        <w:spacing w:before="120" w:after="120" w:line="360" w:lineRule="auto"/>
        <w:ind w:firstLineChars="235" w:firstLine="658"/>
        <w:jc w:val="both"/>
        <w:rPr>
          <w:rFonts w:eastAsiaTheme="majorEastAsia"/>
          <w:bCs/>
          <w:lang w:val="pt-BR"/>
        </w:rPr>
      </w:pPr>
      <w:r w:rsidRPr="00537AD5">
        <w:rPr>
          <w:rFonts w:eastAsiaTheme="majorEastAsia"/>
          <w:bCs/>
          <w:lang w:val="pt-BR"/>
        </w:rPr>
        <w:t xml:space="preserve">Điệu bộ (hay Hành vi vận động) là một phần quan trọng của giao tiếp phi ngôn ngữ. Chuyển động cơ thể truyền đạt thông tin, nhưng cách diễn giải khác nhau tùy theo nền văn hóa. Vì nhiều chuyển động được thực hiện trong tiềm thức hoặc ít nhất là ở mức độ nhận thức thấp, các chuyển động vận động có nguy cơ </w:t>
      </w:r>
      <w:r w:rsidRPr="00537AD5">
        <w:rPr>
          <w:rFonts w:eastAsiaTheme="majorEastAsia"/>
          <w:bCs/>
          <w:lang w:val="pt-BR"/>
        </w:rPr>
        <w:lastRenderedPageBreak/>
        <w:t>bị hiểu sai đáng kể trong tình huống giao tiếp liên văn hóa. Lĩnh vực nghiên cứu của ĐBH vốn tập trung từ góc độ nhân chủng học dần mở rộng sang tâm lý học, ngôn ngữ học và diễn thuyết. Trong một số ứng dụng, chẳng hạn trong khi phỏng vấn, điệu bộ còn được sử dụng như một chỉ dấu để xác định tính chân thực của phát ngôn đang được người nói phát ra.</w:t>
      </w:r>
    </w:p>
    <w:p w:rsidR="00802234" w:rsidRPr="00537AD5" w:rsidRDefault="00802234" w:rsidP="00802234">
      <w:pPr>
        <w:spacing w:before="120" w:after="120" w:line="360" w:lineRule="auto"/>
        <w:ind w:firstLine="567"/>
        <w:jc w:val="both"/>
        <w:rPr>
          <w:rFonts w:eastAsiaTheme="majorEastAsia"/>
          <w:bCs/>
          <w:lang w:val="pt-BR"/>
        </w:rPr>
      </w:pPr>
      <w:r w:rsidRPr="00537AD5">
        <w:rPr>
          <w:rFonts w:eastAsiaTheme="majorEastAsia"/>
          <w:bCs/>
          <w:lang w:val="pt-BR"/>
        </w:rPr>
        <w:t xml:space="preserve">Một số phân môn của ĐBH đã xuất hiện kể từ khi ĐBH trở thành một lĩnh vực nghiên cứu và phát minh ra ba loại ĐBH của Birdwhistell. Các phân môn này đi sâu hơn vào các tín hiệu phi ngôn ngữ được nghiên cứu ngày nay. Chúng cho phép các nhà nghiên cứu tập trung vào cử chỉ của một bộ phận cụ thể của cơ thể hoặc tín hiệu phi ngôn ngữ. Mã ngữ cảnh giao tiếp phi ngôn ngữ của ĐBH đã được chia thành các loại như giao tiếp bằng mắt (oculesics), không gian gần gũi trong giao tiếp (proxemics) và giao tiếp xúc giác (haptics). Chia ĐBH thành các loại cho phép các nghiên cứu chuyên sâu và cụ thể được thực hiện một cách hiệu quả. Các phân môn này được mô tả rộng rãi trong sách giáo khoa về truyền thông. Cụ thể, giao tiếp bằng mắt (oculesics) nghiên cứu về cách các hành vi của mắt ảnh hưởng đến giao tiếp. Giao tiếp bằng mắt ảnh hưởng rất nhiều đến giao tiếp. Duy trì giao tiếp bằng mắt (không nhìn chằm chằm) thể hiện sự quan tâm đến những gì người kia đang nói. Trong khi sự không quan tâm có thể được nhận thấy khi có rất ít hoặc không có giao tiếp bằng mắt. Không gian gần gũi (proxemics) nghiên cứu về các mối quan hệ và giao tiếp mà con người chúng ta thiết lập xuyên qua không gian và qua những khoảng cách mà chúng ta đặt giữa chúng ta và hướng tới sự vật bao quanh chúng ta. Không gian gần gũi là một lý thuyết xuất hiện vào những năm 60 và được phát triển bởi nhà nhân chủng học người Mỹ Edward T. Hall, người đã nghiên cứu cách chúng ta nhận thức không gian trong các nền văn hóa khác nhau và cách chúng ta sử dụng nó để thiết lập các mối quan hệ khác nhau. Nói cách khác, không gian gần gũi là nghiên cứu về sự gần gũi, và sự gần gũi cho phép chúng ta giao tiếp với nhau và thậm chí xây dựng mối quan hệ và một thế giới quan cụ thể. Giao tiếp xúc giác (haptics) là là một nhánh của </w:t>
      </w:r>
      <w:r w:rsidRPr="00537AD5">
        <w:rPr>
          <w:rFonts w:eastAsiaTheme="majorEastAsia"/>
          <w:bCs/>
          <w:lang w:val="pt-BR"/>
        </w:rPr>
        <w:lastRenderedPageBreak/>
        <w:t>giao tiếp phi ngôn ngữ đề cập đến những cách mà con người và động vật giao tiếp và tương tác thông qua xúc giác. Đó là nghiên cứu về sự đụng chạm như giao tiếp phi ngôn ngữ. Cảm ứng là giác quan tinh vi và mật thiết nhất trong năm giác quan.</w:t>
      </w:r>
    </w:p>
    <w:p w:rsidR="00802234" w:rsidRPr="00537AD5" w:rsidRDefault="00802234" w:rsidP="00802234">
      <w:pPr>
        <w:spacing w:line="360" w:lineRule="auto"/>
        <w:ind w:firstLine="567"/>
        <w:jc w:val="right"/>
        <w:rPr>
          <w:rFonts w:eastAsiaTheme="majorEastAsia"/>
          <w:b/>
          <w:lang w:val="pt-BR"/>
        </w:rPr>
      </w:pPr>
      <w:r w:rsidRPr="00537AD5">
        <w:rPr>
          <w:rFonts w:eastAsiaTheme="majorEastAsia"/>
          <w:b/>
          <w:lang w:val="pt-BR"/>
        </w:rPr>
        <w:t xml:space="preserve">                                          </w:t>
      </w:r>
      <w:r w:rsidRPr="00537AD5">
        <w:rPr>
          <w:rFonts w:eastAsiaTheme="majorEastAsia"/>
          <w:b/>
          <w:bCs/>
          <w:sz w:val="20"/>
          <w:szCs w:val="20"/>
          <w:lang w:val="pt-BR"/>
        </w:rPr>
        <w:t>PHẠM HIỂN</w:t>
      </w:r>
    </w:p>
    <w:p w:rsidR="00802234" w:rsidRPr="00537AD5" w:rsidRDefault="00802234" w:rsidP="00802234">
      <w:pPr>
        <w:spacing w:line="360" w:lineRule="auto"/>
        <w:jc w:val="both"/>
        <w:rPr>
          <w:rFonts w:eastAsiaTheme="majorEastAsia"/>
          <w:b/>
          <w:iCs/>
          <w:lang w:val="pt-BR"/>
        </w:rPr>
      </w:pPr>
      <w:r w:rsidRPr="00537AD5">
        <w:rPr>
          <w:rFonts w:eastAsiaTheme="majorEastAsia"/>
          <w:b/>
          <w:iCs/>
          <w:lang w:val="pt-BR"/>
        </w:rPr>
        <w:t>Tài liệu tham khảo</w:t>
      </w:r>
    </w:p>
    <w:p w:rsidR="00802234" w:rsidRPr="00537AD5" w:rsidRDefault="00802234" w:rsidP="00802234">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1. Nguyễn Thiện Giáp, </w:t>
      </w:r>
      <w:r w:rsidRPr="00537AD5">
        <w:rPr>
          <w:rFonts w:ascii="Times New Roman" w:eastAsiaTheme="majorEastAsia" w:hAnsi="Times New Roman"/>
          <w:i/>
          <w:sz w:val="24"/>
          <w:szCs w:val="24"/>
          <w:lang w:val="pt-BR"/>
        </w:rPr>
        <w:t>Từ điển khái niệm ngôn ngữ học</w:t>
      </w:r>
      <w:r w:rsidRPr="00537AD5">
        <w:rPr>
          <w:rFonts w:ascii="Times New Roman" w:eastAsiaTheme="majorEastAsia" w:hAnsi="Times New Roman"/>
          <w:sz w:val="24"/>
          <w:szCs w:val="24"/>
          <w:lang w:val="pt-BR"/>
        </w:rPr>
        <w:t>, Nxb Đại học Quốc gia Hà Nội, Hà Nội, 2016.</w:t>
      </w:r>
    </w:p>
    <w:p w:rsidR="00802234" w:rsidRPr="00537AD5" w:rsidRDefault="00802234" w:rsidP="00802234">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2. Birdwhistell R. L., </w:t>
      </w:r>
      <w:r w:rsidRPr="00537AD5">
        <w:rPr>
          <w:rFonts w:ascii="Times New Roman" w:eastAsiaTheme="majorEastAsia" w:hAnsi="Times New Roman"/>
          <w:i/>
          <w:sz w:val="24"/>
          <w:szCs w:val="24"/>
          <w:lang w:val="pt-BR"/>
        </w:rPr>
        <w:t xml:space="preserve">Introduction to Kinesics: An Annotation System for Analysis of Body Motion and Gesture. </w:t>
      </w:r>
      <w:r w:rsidRPr="00537AD5">
        <w:rPr>
          <w:rFonts w:ascii="Times New Roman" w:eastAsiaTheme="majorEastAsia" w:hAnsi="Times New Roman"/>
          <w:sz w:val="24"/>
          <w:szCs w:val="24"/>
          <w:lang w:val="pt-BR"/>
        </w:rPr>
        <w:t>Washington, DC: Department of State, Foreign Service Institute, 1952.</w:t>
      </w:r>
    </w:p>
    <w:p w:rsidR="00802234" w:rsidRPr="00537AD5" w:rsidRDefault="00802234" w:rsidP="00802234">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3. Birdwhistell R., </w:t>
      </w:r>
      <w:r w:rsidRPr="00537AD5">
        <w:rPr>
          <w:rFonts w:ascii="Times New Roman" w:eastAsiaTheme="majorEastAsia" w:hAnsi="Times New Roman"/>
          <w:i/>
          <w:sz w:val="24"/>
          <w:szCs w:val="24"/>
          <w:lang w:val="pt-BR"/>
        </w:rPr>
        <w:t xml:space="preserve">Kinesics and Context, </w:t>
      </w:r>
      <w:r w:rsidRPr="00537AD5">
        <w:rPr>
          <w:rFonts w:ascii="Times New Roman" w:eastAsiaTheme="majorEastAsia" w:hAnsi="Times New Roman"/>
          <w:sz w:val="24"/>
          <w:szCs w:val="24"/>
          <w:lang w:val="pt-BR"/>
        </w:rPr>
        <w:t>University of Pennsylvania Press, Philadelphia, 1970.</w:t>
      </w:r>
    </w:p>
    <w:p w:rsidR="00802234" w:rsidRPr="00537AD5" w:rsidRDefault="00802234" w:rsidP="00802234">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4. Knapp M., </w:t>
      </w:r>
      <w:r w:rsidRPr="00537AD5">
        <w:rPr>
          <w:rFonts w:ascii="Times New Roman" w:eastAsiaTheme="majorEastAsia" w:hAnsi="Times New Roman"/>
          <w:i/>
          <w:sz w:val="24"/>
          <w:szCs w:val="24"/>
          <w:lang w:val="pt-BR"/>
        </w:rPr>
        <w:t xml:space="preserve">Nonverbal Communication in Human Interaction, </w:t>
      </w:r>
      <w:r w:rsidRPr="00537AD5">
        <w:rPr>
          <w:rFonts w:ascii="Times New Roman" w:eastAsiaTheme="majorEastAsia" w:hAnsi="Times New Roman"/>
          <w:sz w:val="24"/>
          <w:szCs w:val="24"/>
          <w:lang w:val="pt-BR"/>
        </w:rPr>
        <w:t>Reinhart and Winston, New York, p. 94-5, 1972.</w:t>
      </w:r>
    </w:p>
    <w:p w:rsidR="00802234" w:rsidRPr="00537AD5" w:rsidRDefault="00802234" w:rsidP="00802234">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5. Sinclair J. and R. M. Coulthard,</w:t>
      </w:r>
      <w:r w:rsidRPr="00537AD5">
        <w:rPr>
          <w:rFonts w:ascii="Times New Roman" w:eastAsiaTheme="majorEastAsia" w:hAnsi="Times New Roman"/>
          <w:i/>
          <w:sz w:val="24"/>
          <w:szCs w:val="24"/>
          <w:lang w:val="pt-BR"/>
        </w:rPr>
        <w:t xml:space="preserve"> Towards an Analysis of Discourse: The English Used by Teachers and Pupils</w:t>
      </w:r>
      <w:r w:rsidRPr="00537AD5">
        <w:rPr>
          <w:rFonts w:ascii="Times New Roman" w:eastAsiaTheme="majorEastAsia" w:hAnsi="Times New Roman"/>
          <w:sz w:val="24"/>
          <w:szCs w:val="24"/>
          <w:lang w:val="pt-BR"/>
        </w:rPr>
        <w:t>,  1975.</w:t>
      </w:r>
    </w:p>
    <w:p w:rsidR="00802234" w:rsidRPr="00537AD5" w:rsidRDefault="00802234" w:rsidP="00802234">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6. </w:t>
      </w:r>
      <w:r w:rsidRPr="00537AD5">
        <w:rPr>
          <w:rFonts w:ascii="Times New Roman" w:eastAsiaTheme="majorEastAsia" w:hAnsi="Times New Roman"/>
          <w:i/>
          <w:sz w:val="24"/>
          <w:szCs w:val="24"/>
          <w:lang w:val="pt-BR"/>
        </w:rPr>
        <w:t>Nonverbal Communication Theories</w:t>
      </w:r>
      <w:r w:rsidRPr="00537AD5">
        <w:rPr>
          <w:rFonts w:ascii="Times New Roman" w:eastAsiaTheme="majorEastAsia" w:hAnsi="Times New Roman"/>
          <w:sz w:val="24"/>
          <w:szCs w:val="24"/>
          <w:lang w:val="pt-BR"/>
        </w:rPr>
        <w:t>, Encyclopedia of Communication Theory. .doi:10.4135/9781412959384.n262, 2009</w:t>
      </w:r>
    </w:p>
    <w:p w:rsidR="00802234" w:rsidRPr="00537AD5" w:rsidRDefault="00802234" w:rsidP="00802234">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7. Andonova E. &amp; Taylor H. A., </w:t>
      </w:r>
      <w:r w:rsidRPr="00537AD5">
        <w:rPr>
          <w:rFonts w:ascii="Times New Roman" w:eastAsiaTheme="majorEastAsia" w:hAnsi="Times New Roman"/>
          <w:i/>
          <w:sz w:val="24"/>
          <w:szCs w:val="24"/>
          <w:lang w:val="pt-BR"/>
        </w:rPr>
        <w:t>Nodding in dis/agreement: a tale of two cultures. Cognitive processing</w:t>
      </w:r>
      <w:r w:rsidRPr="00537AD5">
        <w:rPr>
          <w:rFonts w:ascii="Times New Roman" w:eastAsiaTheme="majorEastAsia" w:hAnsi="Times New Roman"/>
          <w:sz w:val="24"/>
          <w:szCs w:val="24"/>
          <w:lang w:val="pt-BR"/>
        </w:rPr>
        <w:t xml:space="preserve">, 13 Suppl 1, S79–S82. https://doi.org/10.1007/s10339-012-0472-x, 2012. </w:t>
      </w:r>
    </w:p>
    <w:p w:rsidR="00802234" w:rsidRPr="00537AD5" w:rsidRDefault="00802234" w:rsidP="00802234">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8. Waiflein, Megan, </w:t>
      </w:r>
      <w:r w:rsidRPr="00537AD5">
        <w:rPr>
          <w:rFonts w:ascii="Times New Roman" w:eastAsiaTheme="majorEastAsia" w:hAnsi="Times New Roman"/>
          <w:i/>
          <w:sz w:val="24"/>
          <w:szCs w:val="24"/>
          <w:lang w:val="pt-BR"/>
        </w:rPr>
        <w:t>The Progression of the Field of Kinesics</w:t>
      </w:r>
      <w:r w:rsidRPr="00537AD5">
        <w:rPr>
          <w:rFonts w:ascii="Times New Roman" w:eastAsiaTheme="majorEastAsia" w:hAnsi="Times New Roman"/>
          <w:sz w:val="24"/>
          <w:szCs w:val="24"/>
          <w:lang w:val="pt-BR"/>
        </w:rPr>
        <w:t>, Senior Theses - Anthropology. 3, 2013.</w:t>
      </w:r>
    </w:p>
    <w:p w:rsidR="00802234" w:rsidRPr="00537AD5" w:rsidRDefault="00802234" w:rsidP="00802234">
      <w:pPr>
        <w:jc w:val="both"/>
        <w:rPr>
          <w:rFonts w:eastAsiaTheme="majorEastAsia"/>
          <w:lang w:val="pt-BR"/>
        </w:rPr>
      </w:pPr>
    </w:p>
    <w:p w:rsidR="0074324B" w:rsidRDefault="00802234" w:rsidP="00802234">
      <w:r w:rsidRPr="00537AD5">
        <w:rPr>
          <w:rFonts w:eastAsiaTheme="majorEastAsia"/>
          <w:sz w:val="24"/>
          <w:szCs w:val="24"/>
          <w:lang w:val="pt-BR"/>
        </w:rPr>
        <w:br w:type="column"/>
      </w:r>
      <w:bookmarkStart w:id="0" w:name="_GoBack"/>
      <w:bookmarkEnd w:id="0"/>
    </w:p>
    <w:sectPr w:rsidR="007432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600"/>
    <w:rsid w:val="005A6D57"/>
    <w:rsid w:val="007D3409"/>
    <w:rsid w:val="007D4600"/>
    <w:rsid w:val="00802234"/>
    <w:rsid w:val="00C02CDB"/>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BA8F46-9761-43B1-B3EA-D6DF56BAC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234"/>
    <w:pPr>
      <w:spacing w:after="0" w:line="240" w:lineRule="auto"/>
    </w:pPr>
    <w:rPr>
      <w:rFonts w:ascii="Times New Roman" w:eastAsia="Times New Roman" w:hAnsi="Times New Roman" w:cs="Times New Roman"/>
      <w:sz w:val="28"/>
      <w:szCs w:val="28"/>
      <w:lang w:val="en-US"/>
    </w:rPr>
  </w:style>
  <w:style w:type="paragraph" w:styleId="Heading1">
    <w:name w:val="heading 1"/>
    <w:aliases w:val="Heading 1 Char Char Char,Heading 1 Char Char Char Char,Heading 1 Char Char Char Char Char,Heading 1 Char Char Char Char Char Char Char Char Char,Heading 1 Char Char Char Char Char Char Char Char Char Char Char,Heading 1 Char Char"/>
    <w:basedOn w:val="Normal"/>
    <w:next w:val="Normal"/>
    <w:link w:val="Heading1Char"/>
    <w:qFormat/>
    <w:rsid w:val="00802234"/>
    <w:pPr>
      <w:keepNext/>
      <w:keepLines/>
      <w:spacing w:before="480"/>
      <w:outlineLvl w:val="0"/>
    </w:pPr>
    <w:rPr>
      <w:rFonts w:asciiTheme="majorHAnsi" w:eastAsiaTheme="majorEastAsia" w:hAnsiTheme="majorHAnsi" w:cstheme="majorBidi"/>
      <w:b/>
      <w:b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2,Heading 1 Char Char Char Char Char2,Heading 1 Char Char Char Char Char Char1,Heading 1 Char Char Char Char Char Char Char Char Char Char1,Heading 1 Char Char Char1"/>
    <w:basedOn w:val="DefaultParagraphFont"/>
    <w:link w:val="Heading1"/>
    <w:qFormat/>
    <w:rsid w:val="00802234"/>
    <w:rPr>
      <w:rFonts w:asciiTheme="majorHAnsi" w:eastAsiaTheme="majorEastAsia" w:hAnsiTheme="majorHAnsi" w:cstheme="majorBidi"/>
      <w:b/>
      <w:bCs/>
      <w:color w:val="2E74B5" w:themeColor="accent1" w:themeShade="BF"/>
      <w:sz w:val="28"/>
      <w:szCs w:val="28"/>
      <w:lang w:val="en-US"/>
    </w:rPr>
  </w:style>
  <w:style w:type="paragraph" w:styleId="FootnoteText">
    <w:name w:val="footnote text"/>
    <w:aliases w:val="Note de bas de page1,Note de bas de page1 Char Char, Char5, Char8, Char,Char,Chu thich,Char5,Char8,Footnote Text Char Char Char Char Char,Footnote Text Char Char Char Char Char Char Ch,Footnote Text Char Char Char Char Char Char Ch Char,fn"/>
    <w:basedOn w:val="Normal"/>
    <w:link w:val="FootnoteTextChar"/>
    <w:qFormat/>
    <w:rsid w:val="00802234"/>
    <w:pPr>
      <w:spacing w:before="120" w:line="360" w:lineRule="exact"/>
      <w:jc w:val="both"/>
    </w:pPr>
    <w:rPr>
      <w:rFonts w:ascii=".VnCentury Schoolbook" w:eastAsia="MS Mincho" w:hAnsi=".VnCentury Schoolbook"/>
      <w:sz w:val="20"/>
      <w:szCs w:val="20"/>
    </w:rPr>
  </w:style>
  <w:style w:type="character" w:customStyle="1" w:styleId="FootnoteTextChar">
    <w:name w:val="Footnote Text Char"/>
    <w:aliases w:val="Note de bas de page1 Char,Note de bas de page1 Char Char Char, Char5 Char, Char8 Char, Char Char,Char Char,Chu thich Char,Char5 Char,Char8 Char,Footnote Text Char Char Char Char Char Char,fn Char"/>
    <w:basedOn w:val="DefaultParagraphFont"/>
    <w:link w:val="FootnoteText"/>
    <w:qFormat/>
    <w:rsid w:val="00802234"/>
    <w:rPr>
      <w:rFonts w:ascii=".VnCentury Schoolbook" w:eastAsia="MS Mincho" w:hAnsi=".VnCentury Schoolbook"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817</Words>
  <Characters>4659</Characters>
  <Application>Microsoft Office Word</Application>
  <DocSecurity>0</DocSecurity>
  <Lines>38</Lines>
  <Paragraphs>10</Paragraphs>
  <ScaleCrop>false</ScaleCrop>
  <Company/>
  <LinksUpToDate>false</LinksUpToDate>
  <CharactersWithSpaces>5466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2025-12-15T07:45:00Z</dcterms:created>
  <dcterms:modified xsi:type="dcterms:W3CDTF">2025-12-15T07:45:00Z</dcterms:modified>
</cp:coreProperties>
</file>